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2021年度杭州市住房租赁资金监管对象分类管控结果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30" w:tblpY="171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70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u w:val="none"/>
                <w:lang w:eastAsia="zh-CN"/>
              </w:rPr>
              <w:t>杭州爱家物业服务有限公司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杭州自如企业管理有限公司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杭州宁巢公寓运营管理有限公司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建信住房服务（浙江）有限责任公司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杭州随寓网络科技有限公司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未达标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27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徐露露</cp:lastModifiedBy>
  <dcterms:modified xsi:type="dcterms:W3CDTF">2022-12-07T07:33:31Z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