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8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附件4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outlineLvl w:val="9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申报对象</w:t>
      </w:r>
      <w:r>
        <w:rPr>
          <w:rFonts w:hint="eastAsia" w:ascii="仿宋" w:hAnsi="仿宋" w:eastAsia="仿宋" w:cs="仿宋"/>
          <w:b/>
          <w:sz w:val="32"/>
          <w:szCs w:val="32"/>
        </w:rPr>
        <w:t>评分和计算标准</w:t>
      </w:r>
      <w:r>
        <w:rPr>
          <w:rFonts w:ascii="Times New Roman" w:hAnsi="Times New Roman" w:eastAsia="仿宋_GB2312"/>
          <w:kern w:val="0"/>
          <w:sz w:val="22"/>
          <w:lang w:bidi="ar"/>
        </w:rPr>
        <w:t>（</w:t>
      </w:r>
      <w:r>
        <w:rPr>
          <w:rFonts w:hint="eastAsia" w:ascii="Times New Roman" w:hAnsi="Times New Roman" w:eastAsia="仿宋_GB2312"/>
          <w:kern w:val="0"/>
          <w:sz w:val="22"/>
          <w:lang w:bidi="ar"/>
        </w:rPr>
        <w:t>适用于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住房租赁</w:t>
      </w:r>
      <w:r>
        <w:rPr>
          <w:rFonts w:ascii="Times New Roman" w:hAnsi="Times New Roman" w:eastAsia="仿宋_GB2312"/>
          <w:kern w:val="0"/>
          <w:sz w:val="22"/>
          <w:lang w:bidi="ar"/>
        </w:rPr>
        <w:t>企业）</w:t>
      </w:r>
    </w:p>
    <w:tbl>
      <w:tblPr>
        <w:tblStyle w:val="11"/>
        <w:tblpPr w:leftFromText="180" w:rightFromText="180" w:vertAnchor="text" w:horzAnchor="page" w:tblpX="1523" w:tblpY="387"/>
        <w:tblOverlap w:val="never"/>
        <w:tblW w:w="13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4446"/>
        <w:gridCol w:w="5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制度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在加强内部管理、健全相关管理制度等方面的情况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未按要求建立相关管理制度（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详见《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企业应当建立的内部管理制度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要求》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）的，每缺少1项，扣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执行制度不到位的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，每发现一次扣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财务情况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在依法纳税、财务管理等方面的情况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1.近三年（含当年度）存在偷税漏税欠税的，或未提供无欠税证明无法核实纳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税情况的，每发现一次扣5分。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2.财务状况存在问题的，视情节轻重扣0-20分。其中，实收资本小于500万的扣5分，大于等于5000万的不扣分，其余情况酌情扣分（小于5分）；资产负债率大于90%的扣5分，小于50%的不扣分，其余情况酌情扣分（小于5分）；净利润为正的不扣分，其余情况不扣分（小于等于5分）；存在其他财务问题（如营业收入、应收应付款等方面的），各项酌情扣0-5分（上述各项状况累计扣分，最高扣20分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.存在其他不良财务记录的，每发现一条扣1分。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系统对接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20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使用市租赁平台进行签约和合同管理，或自有ERP与市租赁平台完成对接，实现所有房源数据、签约数据通过接口自动实时推送至市租赁平台的情况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使用市租赁平台进行签约和合同管理但数据不完整的，每发现1次，扣0.5分。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2.自有ERP系统完成对接但房源或项目未按标准推送，同一套房源或同一个项目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连续3次及以上被退回的，退回次数占比对应量级为1/10000、1/1000、1/100、1/10的，所对应的基础扣分分别为1、3、5、7；额外扣分=退回次数占比/对应的量级*0.1，实际扣分=基础扣分+额外扣分（保留两位小数）。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3.存在其他不规范行为的，每发现一次扣0.5分。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9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四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规范经营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30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依法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依规经营、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主动接受房产行政主管部门监督管理、积极参加主管部门组织的工作和活动、自觉履行企业社会责任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受到房产行政主管部门约谈的，每次扣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分；书面发放整改通知书的，每次扣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.对房产行政主管部门的工作部署落实不到位的，每发现1次，扣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.不配合相关部门履行出租房屋安全管理职责，承接不符合居住房屋出租安全条件的房屋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eastAsia="zh-CN" w:bidi="ar"/>
              </w:rPr>
              <w:t>。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查处次数占比对应量级1/10000、1/1000、1/100所对应的基础扣分分别为1、3、5，额外扣分=查处次数占比</w:t>
            </w:r>
            <w:r>
              <w:rPr>
                <w:rFonts w:hint="default" w:ascii="Times New Roman" w:hAnsi="Times New Roman" w:eastAsia="仿宋_GB2312"/>
                <w:kern w:val="0"/>
                <w:sz w:val="22"/>
                <w:lang w:val="en-US" w:eastAsia="zh-CN" w:bidi="ar"/>
              </w:rPr>
              <w:t>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对应的量级*0.1，实际扣分=基础扣分+额外扣分（保留两位小数）。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4.受到消防部门行政处罚的，查处次数占比对应量级1/10000、1/1000、1/100所对应的基础扣分分别为3、5、7，额外扣分=查处次数占比</w:t>
            </w: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对应的量级*0.1，实际扣分=基础扣分+额外扣分（保留两位小数）；存在重大火灾隐患未整改的或发生过火灾事故的，扣10分；存在较大及以上消防事故的，一票否决，不予拨付专项资金。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5.存在其他违规行为的，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每发现一</w:t>
            </w:r>
            <w:r>
              <w:rPr>
                <w:rFonts w:ascii="Times New Roman" w:hAnsi="Times New Roman" w:eastAsia="仿宋_GB2312"/>
                <w:color w:val="0C0C0C"/>
                <w:kern w:val="0"/>
                <w:sz w:val="22"/>
                <w:lang w:bidi="ar"/>
              </w:rPr>
              <w:t>次扣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0.5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五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信用情况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10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  <w:t>在社会影响和社会信用等方面的情况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与住房租赁业务相关的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有责投诉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率对应量级1/10000、1/1000、1/100所对应的基础扣分分别为1、3、5，额外扣分=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有责投诉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率</w:t>
            </w: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对应的量级*0.1，实际扣分=基础扣分+额外扣分（保留两位小数）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2.其他存在不良情况的，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每发现一次扣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六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加分上限为10分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荣誉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</w:t>
            </w:r>
            <w:r>
              <w:rPr>
                <w:rFonts w:hint="eastAsia" w:ascii="Times New Roman" w:hAnsi="Times New Roman" w:eastAsia="仿宋_GB2312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规范性加分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对纳入杭州市第一批住房租赁试点培育企业名单的企业，加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2.对于企业及企业党建获得区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委、区政府有关部门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每项荣誉加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分，市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委、市政府有关部门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每项荣誉加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分，省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委、省政府及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有关部门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每项荣誉加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分；市级及以上协会各项荣誉，每项加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分（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以当年获得的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荣誉证书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为准，最高得8分）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按照规定使用示范合同文本或使用经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过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备案的自定合同文本的，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加1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5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说明：1.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执行制度不到位=经市、区（县）两级房产行政主管部门检查，或投诉信访事件中反映出的企业未严格落实内部管理制度等情况（不包括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租赁矛盾纠纷调处化解机制执行情况）；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2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2.查处次数占比=查处次数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/企业申报的有效房源套（间）数；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 xml:space="preserve">      3.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有效房源数=经认定的房源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套（间）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数量，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highlight w:val="none"/>
          <w:lang w:val="en-US" w:eastAsia="zh-CN" w:bidi="ar-SA"/>
        </w:rPr>
        <w:t>下同</w:t>
      </w: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4.</w:t>
      </w:r>
      <w:r>
        <w:rPr>
          <w:rFonts w:ascii="Times New Roman" w:hAnsi="Times New Roman" w:eastAsia="仿宋_GB2312"/>
          <w:kern w:val="0"/>
          <w:sz w:val="22"/>
          <w:lang w:bidi="ar"/>
        </w:rPr>
        <w:t>出租房屋安全管理职责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=公安部门规定的企业房屋出租应当履行的相关安全管理职责；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 xml:space="preserve">      5.</w:t>
      </w:r>
      <w:r>
        <w:rPr>
          <w:rFonts w:ascii="Times New Roman" w:hAnsi="Times New Roman" w:eastAsia="仿宋_GB2312"/>
          <w:kern w:val="0"/>
          <w:sz w:val="22"/>
          <w:lang w:bidi="ar"/>
        </w:rPr>
        <w:t>有责投诉</w:t>
      </w: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率</w:t>
      </w: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>=有责投诉次数/企业申报的有效房源套（间）数。有责=违反相关法律法规及政策依据、被日常监管部门处罚等可确认企业违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  <w:r>
        <w:rPr>
          <w:rFonts w:hint="eastAsia" w:ascii="Times New Roman" w:hAnsi="Times New Roman" w:eastAsia="仿宋_GB2312"/>
          <w:color w:val="0C0C0C"/>
          <w:kern w:val="0"/>
          <w:sz w:val="22"/>
          <w:lang w:val="en-US" w:eastAsia="zh-CN" w:bidi="ar"/>
        </w:rPr>
        <w:t xml:space="preserve">  规的投诉事项。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C0C0C"/>
          <w:sz w:val="32"/>
          <w:szCs w:val="32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400" w:lineRule="exact"/>
        <w:ind w:left="40" w:leftChars="0" w:right="40" w:rightChars="0" w:firstLine="0" w:firstLineChars="0"/>
        <w:contextualSpacing/>
        <w:jc w:val="center"/>
        <w:textAlignment w:val="auto"/>
        <w:outlineLvl w:val="9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项目情况评分和计算标准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400" w:lineRule="exact"/>
        <w:ind w:left="40" w:leftChars="0" w:right="40" w:rightChars="0" w:firstLine="0" w:firstLineChars="0"/>
        <w:contextualSpacing/>
        <w:jc w:val="center"/>
        <w:textAlignment w:val="auto"/>
        <w:outlineLvl w:val="9"/>
        <w:rPr>
          <w:rFonts w:ascii="Times New Roman" w:hAnsi="Times New Roman" w:eastAsia="仿宋_GB2312"/>
          <w:sz w:val="22"/>
          <w:highlight w:val="none"/>
          <w:lang w:bidi="ar"/>
        </w:rPr>
      </w:pPr>
      <w:r>
        <w:rPr>
          <w:rFonts w:hint="eastAsia" w:ascii="仿宋" w:hAnsi="仿宋" w:eastAsia="仿宋" w:cs="仿宋"/>
          <w:color w:val="0C0C0C"/>
          <w:kern w:val="2"/>
          <w:sz w:val="22"/>
          <w:szCs w:val="22"/>
          <w:lang w:val="en-US" w:eastAsia="zh-CN" w:bidi="ar"/>
        </w:rPr>
        <w:t>（适用于企业自持商品房屋项目，</w:t>
      </w:r>
      <w:r>
        <w:rPr>
          <w:rFonts w:hint="eastAsia" w:ascii="仿宋" w:hAnsi="仿宋" w:eastAsia="仿宋" w:cs="仿宋"/>
          <w:color w:val="000000"/>
          <w:kern w:val="2"/>
          <w:sz w:val="22"/>
          <w:szCs w:val="22"/>
          <w:lang w:val="en-US" w:eastAsia="zh-CN" w:bidi="ar"/>
        </w:rPr>
        <w:t>集中式改造项目，集体土地（竣工）项目，蓝领公寓（竣工）项目，</w:t>
      </w:r>
      <w:r>
        <w:rPr>
          <w:rFonts w:hint="eastAsia" w:ascii="仿宋" w:hAnsi="仿宋" w:eastAsia="仿宋" w:cs="仿宋"/>
          <w:color w:val="000000"/>
          <w:kern w:val="2"/>
          <w:sz w:val="22"/>
          <w:szCs w:val="22"/>
          <w:highlight w:val="none"/>
          <w:lang w:val="en-US" w:eastAsia="zh-CN" w:bidi="ar"/>
        </w:rPr>
        <w:t>人才专项租赁住房</w:t>
      </w:r>
      <w:r>
        <w:rPr>
          <w:rFonts w:hint="eastAsia" w:ascii="仿宋" w:hAnsi="仿宋" w:eastAsia="仿宋" w:cs="仿宋"/>
          <w:color w:val="000000"/>
          <w:kern w:val="2"/>
          <w:sz w:val="22"/>
          <w:szCs w:val="22"/>
          <w:lang w:val="en-US" w:eastAsia="zh-CN" w:bidi="ar"/>
        </w:rPr>
        <w:t>（竣工）项目</w:t>
      </w:r>
      <w:r>
        <w:rPr>
          <w:rFonts w:hint="eastAsia" w:ascii="仿宋" w:hAnsi="仿宋" w:eastAsia="仿宋" w:cs="仿宋"/>
          <w:color w:val="0C0C0C"/>
          <w:kern w:val="2"/>
          <w:sz w:val="22"/>
          <w:szCs w:val="22"/>
          <w:lang w:val="en-US" w:eastAsia="zh-CN" w:bidi="ar"/>
        </w:rPr>
        <w:t>）</w:t>
      </w:r>
    </w:p>
    <w:p>
      <w:pPr>
        <w:pStyle w:val="9"/>
        <w:widowControl/>
        <w:spacing w:before="40" w:beforeAutospacing="0" w:after="40" w:afterAutospacing="0" w:line="280" w:lineRule="exact"/>
        <w:ind w:left="40" w:right="40"/>
        <w:contextualSpacing/>
        <w:jc w:val="center"/>
        <w:rPr>
          <w:rFonts w:ascii="Times New Roman" w:hAnsi="Times New Roman" w:eastAsia="仿宋_GB2312"/>
          <w:sz w:val="22"/>
          <w:lang w:bidi="ar"/>
        </w:rPr>
      </w:pPr>
    </w:p>
    <w:tbl>
      <w:tblPr>
        <w:tblStyle w:val="11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925"/>
        <w:gridCol w:w="3573"/>
        <w:gridCol w:w="6886"/>
      </w:tblGrid>
      <w:tr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评分内容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计分标准</w:t>
            </w:r>
          </w:p>
        </w:tc>
      </w:tr>
      <w:tr>
        <w:trPr>
          <w:trHeight w:val="84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sz w:val="22"/>
                <w:highlight w:val="none"/>
              </w:rPr>
              <w:t>一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数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量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100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企业申报的有效房源数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按每套（间）0.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分计算，最高得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100</w:t>
            </w:r>
            <w:r>
              <w:rPr>
                <w:rFonts w:ascii="Times New Roman" w:hAnsi="Times New Roman" w:eastAsia="仿宋_GB2312"/>
                <w:kern w:val="0"/>
                <w:sz w:val="22"/>
                <w:highlight w:val="none"/>
                <w:lang w:bidi="ar"/>
              </w:rPr>
              <w:t>分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eastAsia="zh-CN" w:bidi="ar"/>
              </w:rPr>
              <w:t>。</w:t>
            </w:r>
          </w:p>
        </w:tc>
      </w:tr>
      <w:tr>
        <w:trPr>
          <w:trHeight w:val="192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二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附加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情况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按实计算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2"/>
              </w:rPr>
              <w:t>规模发展</w:t>
            </w:r>
            <w:r>
              <w:rPr>
                <w:rFonts w:hint="eastAsia" w:ascii="Times New Roman" w:hAnsi="Times New Roman" w:eastAsia="仿宋_GB2312"/>
                <w:sz w:val="22"/>
                <w:lang w:val="en-US" w:eastAsia="zh-CN"/>
              </w:rPr>
              <w:t>加分、</w:t>
            </w:r>
            <w:r>
              <w:rPr>
                <w:rFonts w:hint="eastAsia" w:ascii="Times New Roman" w:hAnsi="Times New Roman" w:eastAsia="仿宋_GB2312"/>
                <w:color w:val="0C0C0C"/>
                <w:sz w:val="22"/>
                <w:lang w:val="en-US" w:eastAsia="zh-CN"/>
              </w:rPr>
              <w:t>出租率加分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房源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  <w:t>数量得分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超过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0分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，每增加100套（间）附加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Times New Roman" w:hAnsi="Times New Roman" w:eastAsia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2.出租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率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超过8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0%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，实际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出租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率每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上升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0.01个百分点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0.01分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lang w:bidi="ar"/>
              </w:rPr>
              <w:t>总分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  <w:tc>
          <w:tcPr>
            <w:tcW w:w="6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仿宋_GB2312"/>
                <w:sz w:val="22"/>
              </w:rPr>
              <w:t>——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40" w:firstLine="0" w:firstLineChars="0"/>
        <w:contextualSpacing/>
        <w:jc w:val="both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40" w:firstLine="0" w:firstLineChars="0"/>
        <w:contextualSpacing/>
        <w:jc w:val="both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  <w:t>说明：出租率=有效出租房源套（间）数/有效房源套（间）数。下同。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40" w:firstLine="0" w:firstLineChars="0"/>
        <w:contextualSpacing/>
        <w:jc w:val="both"/>
        <w:outlineLvl w:val="9"/>
        <w:rPr>
          <w:rFonts w:hint="eastAsia" w:ascii="Times New Roman" w:hAnsi="Times New Roman" w:eastAsia="仿宋_GB2312" w:cs="Times New Roman"/>
          <w:color w:val="0C0C0C"/>
          <w:kern w:val="2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center"/>
        <w:outlineLvl w:val="9"/>
        <w:rPr>
          <w:rFonts w:hint="eastAsia" w:ascii="Times New Roman" w:hAnsi="Times New Roman" w:eastAsia="仿宋_GB2312"/>
          <w:sz w:val="22"/>
          <w:lang w:val="en-US" w:eastAsia="zh-CN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</w:pPr>
    </w:p>
    <w:p>
      <w:pPr>
        <w:pStyle w:val="9"/>
        <w:widowControl/>
        <w:spacing w:before="40" w:beforeAutospacing="0" w:after="40" w:afterAutospacing="0" w:line="580" w:lineRule="exact"/>
        <w:ind w:left="40" w:right="40"/>
        <w:contextualSpacing/>
        <w:jc w:val="center"/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20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</w:rPr>
        <w:t>年度杭州市中央财政支持住房租赁市场发展试点专项资金</w:t>
      </w:r>
      <w:r>
        <w:rPr>
          <w:rFonts w:hint="eastAsia" w:ascii="小标宋" w:hAnsi="小标宋" w:eastAsia="小标宋" w:cs="小标宋"/>
          <w:b w:val="0"/>
          <w:bCs/>
          <w:color w:val="0C0C0C"/>
          <w:sz w:val="36"/>
          <w:szCs w:val="36"/>
          <w:lang w:val="en-US" w:eastAsia="zh-CN"/>
        </w:rPr>
        <w:t>评审标准</w:t>
      </w:r>
    </w:p>
    <w:p>
      <w:pPr>
        <w:spacing w:line="550" w:lineRule="exact"/>
        <w:ind w:firstLine="640"/>
        <w:jc w:val="center"/>
        <w:rPr>
          <w:rFonts w:hint="eastAsia" w:ascii="华文中宋" w:hAnsi="华文中宋" w:eastAsia="华文中宋" w:cs="华文中宋"/>
          <w:b/>
          <w:bCs w:val="0"/>
          <w:color w:val="0C0C0C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22"/>
          <w:lang w:val="en-US" w:eastAsia="zh-CN" w:bidi="ar"/>
        </w:rPr>
        <w:t>（适用于筹集建设单位）</w:t>
      </w:r>
    </w:p>
    <w:p>
      <w:pPr>
        <w:pStyle w:val="9"/>
        <w:widowControl/>
        <w:spacing w:before="40" w:beforeAutospacing="0" w:after="40" w:afterAutospacing="0" w:line="280" w:lineRule="exact"/>
        <w:ind w:right="40"/>
        <w:contextualSpacing/>
        <w:jc w:val="both"/>
        <w:rPr>
          <w:rFonts w:ascii="Times New Roman" w:hAnsi="Times New Roman" w:eastAsia="仿宋_GB2312"/>
          <w:sz w:val="22"/>
          <w:lang w:bidi="ar"/>
        </w:rPr>
      </w:pPr>
    </w:p>
    <w:tbl>
      <w:tblPr>
        <w:tblStyle w:val="11"/>
        <w:tblW w:w="139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5"/>
        <w:gridCol w:w="1851"/>
        <w:gridCol w:w="3184"/>
        <w:gridCol w:w="8186"/>
      </w:tblGrid>
      <w:tr>
        <w:trPr>
          <w:trHeight w:val="57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评</w:t>
            </w:r>
            <w:r>
              <w:rPr>
                <w:rFonts w:hint="eastAsia" w:ascii="Times New Roman" w:hAnsi="Times New Roman" w:eastAsia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审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  <w:lang w:bidi="ar"/>
              </w:rPr>
              <w:t>内容</w:t>
            </w:r>
          </w:p>
        </w:tc>
        <w:tc>
          <w:tcPr>
            <w:tcW w:w="8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评审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标准</w:t>
            </w:r>
          </w:p>
        </w:tc>
      </w:tr>
      <w:tr>
        <w:trPr>
          <w:trHeight w:val="127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ascii="Times New Roman" w:hAnsi="Times New Roman" w:eastAsia="仿宋_GB2312"/>
                <w:sz w:val="22"/>
                <w:highlight w:val="none"/>
              </w:rPr>
              <w:t>一</w:t>
            </w:r>
          </w:p>
        </w:tc>
        <w:tc>
          <w:tcPr>
            <w:tcW w:w="1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  <w:t>项目情况</w:t>
            </w: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仿宋_GB2312"/>
                <w:sz w:val="22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项目资质</w:t>
            </w:r>
          </w:p>
        </w:tc>
        <w:tc>
          <w:tcPr>
            <w:tcW w:w="8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 w:right="0" w:rightChars="0"/>
              <w:jc w:val="left"/>
              <w:textAlignment w:val="center"/>
              <w:outlineLvl w:val="9"/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1.集体土地（已开工未竣工）项目具备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筑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工程施工许可证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9"/>
                <w:rFonts w:hint="default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蓝领公寓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（已开工未竣工）</w:t>
            </w:r>
            <w:r>
              <w:rPr>
                <w:rStyle w:val="19"/>
                <w:rFonts w:hint="default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《建设方案联合会审纪要》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人才专项租赁住房（已开工未竣工）项目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具备《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建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筑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施工许可证》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提供专项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审计报告。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ascii="Times New Roman" w:hAnsi="Times New Roman" w:eastAsia="仿宋_GB2312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hint="default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提供预测绘报</w:t>
            </w:r>
            <w:r>
              <w:rPr>
                <w:rStyle w:val="19"/>
                <w:rFonts w:hint="eastAsia" w:ascii="仿宋" w:hAnsi="仿宋" w:eastAsia="仿宋" w:cs="仿宋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二</w:t>
            </w: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highlight w:val="none"/>
                <w:lang w:val="en-US" w:eastAsia="zh-CN"/>
              </w:rPr>
              <w:t>开工时间</w:t>
            </w:r>
          </w:p>
        </w:tc>
        <w:tc>
          <w:tcPr>
            <w:tcW w:w="8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集体土地（已开工未竣工）项目、</w:t>
            </w:r>
            <w:r>
              <w:rPr>
                <w:rStyle w:val="19"/>
                <w:rFonts w:hint="default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蓝领公寓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（已开工未竣工）</w:t>
            </w:r>
            <w:r>
              <w:rPr>
                <w:rStyle w:val="19"/>
                <w:rFonts w:hint="default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、人才专项租赁住房（已开工未竣工）项目的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开工时间在20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19"/>
                <w:rFonts w:hint="eastAsia" w:ascii="Times New Roman" w:hAnsi="Times New Roman" w:eastAsia="仿宋_GB2312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1月1日至2020年12月31日之间。                                                 </w:t>
            </w:r>
          </w:p>
        </w:tc>
      </w:tr>
    </w:tbl>
    <w:p>
      <w:pPr>
        <w:wordWrap w:val="0"/>
        <w:spacing w:line="580" w:lineRule="exact"/>
        <w:jc w:val="both"/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33BA"/>
    <w:rsid w:val="01100C1C"/>
    <w:rsid w:val="01A55873"/>
    <w:rsid w:val="03C020B7"/>
    <w:rsid w:val="04246350"/>
    <w:rsid w:val="042B1767"/>
    <w:rsid w:val="077F5E4D"/>
    <w:rsid w:val="08B65FD7"/>
    <w:rsid w:val="09A1725A"/>
    <w:rsid w:val="0A7511D5"/>
    <w:rsid w:val="0B8870FA"/>
    <w:rsid w:val="0D5E59FB"/>
    <w:rsid w:val="0E6B6129"/>
    <w:rsid w:val="11042B40"/>
    <w:rsid w:val="11134B92"/>
    <w:rsid w:val="11EB6DF4"/>
    <w:rsid w:val="12976F0D"/>
    <w:rsid w:val="12BE0CD5"/>
    <w:rsid w:val="13E75935"/>
    <w:rsid w:val="13FB64FA"/>
    <w:rsid w:val="149838EE"/>
    <w:rsid w:val="15297246"/>
    <w:rsid w:val="16654F0A"/>
    <w:rsid w:val="17795EAC"/>
    <w:rsid w:val="19423E13"/>
    <w:rsid w:val="196178B0"/>
    <w:rsid w:val="19F945AB"/>
    <w:rsid w:val="1A221EEC"/>
    <w:rsid w:val="1A79020B"/>
    <w:rsid w:val="1C3656DC"/>
    <w:rsid w:val="1CC835E2"/>
    <w:rsid w:val="1E14467B"/>
    <w:rsid w:val="22E174C7"/>
    <w:rsid w:val="22FC5AF3"/>
    <w:rsid w:val="241406BA"/>
    <w:rsid w:val="24A55EAE"/>
    <w:rsid w:val="27982170"/>
    <w:rsid w:val="290B5D62"/>
    <w:rsid w:val="29B97180"/>
    <w:rsid w:val="2B04391F"/>
    <w:rsid w:val="2D3423BF"/>
    <w:rsid w:val="2D765922"/>
    <w:rsid w:val="2E4F0E88"/>
    <w:rsid w:val="2F575E37"/>
    <w:rsid w:val="314812BE"/>
    <w:rsid w:val="339D28F0"/>
    <w:rsid w:val="33A75C6F"/>
    <w:rsid w:val="33C71E7E"/>
    <w:rsid w:val="35026383"/>
    <w:rsid w:val="359955FD"/>
    <w:rsid w:val="367D4A39"/>
    <w:rsid w:val="36943398"/>
    <w:rsid w:val="38173E7E"/>
    <w:rsid w:val="39EA4612"/>
    <w:rsid w:val="3A7F6128"/>
    <w:rsid w:val="3AA16441"/>
    <w:rsid w:val="3B5C6A72"/>
    <w:rsid w:val="3D3056F4"/>
    <w:rsid w:val="3EB522E6"/>
    <w:rsid w:val="3F356AFE"/>
    <w:rsid w:val="3F6D6D8F"/>
    <w:rsid w:val="42E01928"/>
    <w:rsid w:val="43EB387E"/>
    <w:rsid w:val="44D9344F"/>
    <w:rsid w:val="46101EFE"/>
    <w:rsid w:val="472E0438"/>
    <w:rsid w:val="473F46E1"/>
    <w:rsid w:val="49883D9E"/>
    <w:rsid w:val="49F851C8"/>
    <w:rsid w:val="4AAC5B10"/>
    <w:rsid w:val="4BEE62A0"/>
    <w:rsid w:val="4CA02DA8"/>
    <w:rsid w:val="4CE71BB7"/>
    <w:rsid w:val="4F307F0C"/>
    <w:rsid w:val="4F6A08CF"/>
    <w:rsid w:val="546D070F"/>
    <w:rsid w:val="54C2369C"/>
    <w:rsid w:val="56021109"/>
    <w:rsid w:val="57990C47"/>
    <w:rsid w:val="57A3248A"/>
    <w:rsid w:val="57DD3C82"/>
    <w:rsid w:val="58D4514B"/>
    <w:rsid w:val="59995F57"/>
    <w:rsid w:val="5ADE4A8F"/>
    <w:rsid w:val="5B906051"/>
    <w:rsid w:val="5BC62F1F"/>
    <w:rsid w:val="5D59565D"/>
    <w:rsid w:val="5D5B0DB7"/>
    <w:rsid w:val="5DE805CA"/>
    <w:rsid w:val="5F0E0ED1"/>
    <w:rsid w:val="5FCA1E36"/>
    <w:rsid w:val="5FDB08D6"/>
    <w:rsid w:val="601F5015"/>
    <w:rsid w:val="62A34AE2"/>
    <w:rsid w:val="641649C3"/>
    <w:rsid w:val="65284A5B"/>
    <w:rsid w:val="6544632F"/>
    <w:rsid w:val="65745E94"/>
    <w:rsid w:val="65E36238"/>
    <w:rsid w:val="66DF394B"/>
    <w:rsid w:val="67232358"/>
    <w:rsid w:val="67880AE7"/>
    <w:rsid w:val="67A65B19"/>
    <w:rsid w:val="69E7514E"/>
    <w:rsid w:val="6B3F3181"/>
    <w:rsid w:val="6B845E74"/>
    <w:rsid w:val="6BC85664"/>
    <w:rsid w:val="6FE756F4"/>
    <w:rsid w:val="700D5021"/>
    <w:rsid w:val="712170AA"/>
    <w:rsid w:val="715236E7"/>
    <w:rsid w:val="724330A0"/>
    <w:rsid w:val="73627C74"/>
    <w:rsid w:val="736B7EE9"/>
    <w:rsid w:val="74B56C06"/>
    <w:rsid w:val="74C162BD"/>
    <w:rsid w:val="75AD33DE"/>
    <w:rsid w:val="75CF09D8"/>
    <w:rsid w:val="76271066"/>
    <w:rsid w:val="765566B2"/>
    <w:rsid w:val="77617AE9"/>
    <w:rsid w:val="77BC6EFE"/>
    <w:rsid w:val="79115115"/>
    <w:rsid w:val="7987431E"/>
    <w:rsid w:val="7D0C38B8"/>
    <w:rsid w:val="7D564FB1"/>
    <w:rsid w:val="7D785165"/>
    <w:rsid w:val="7DBE36DC"/>
    <w:rsid w:val="7E7F62AB"/>
    <w:rsid w:val="7E8C502E"/>
    <w:rsid w:val="7F2333C3"/>
    <w:rsid w:val="7F4D2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3"/>
    <w:qFormat/>
    <w:uiPriority w:val="0"/>
    <w:pPr>
      <w:ind w:left="0" w:firstLine="40"/>
    </w:pPr>
    <w:rPr>
      <w:rFonts w:ascii="仿宋_GB2312" w:cs="仿宋_GB2312"/>
      <w:szCs w:val="32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iPriority w:val="0"/>
    <w:rPr>
      <w:color w:val="000000"/>
      <w:u w:val="none"/>
    </w:rPr>
  </w:style>
  <w:style w:type="character" w:styleId="17">
    <w:name w:val="Hyperlink"/>
    <w:basedOn w:val="13"/>
    <w:uiPriority w:val="0"/>
    <w:rPr>
      <w:color w:val="000000"/>
      <w:u w:val="none"/>
    </w:rPr>
  </w:style>
  <w:style w:type="character" w:styleId="18">
    <w:name w:val="footnote reference"/>
    <w:basedOn w:val="13"/>
    <w:qFormat/>
    <w:uiPriority w:val="0"/>
    <w:rPr>
      <w:vertAlign w:val="superscript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宋体" w:cs="Times New Roman"/>
      <w:spacing w:val="-6"/>
      <w:kern w:val="2"/>
      <w:sz w:val="28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2021-09-23T07:49:00Z</cp:lastPrinted>
  <dcterms:modified xsi:type="dcterms:W3CDTF">2021-09-23T09:14:22Z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C63A493C602548AFB870800E2C906A15</vt:lpwstr>
  </property>
</Properties>
</file>