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widowControl/>
        <w:spacing w:before="0" w:beforeAutospacing="0" w:after="0" w:afterAutospacing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竞争性磋商评审表</w:t>
      </w:r>
    </w:p>
    <w:tbl>
      <w:tblPr>
        <w:tblStyle w:val="4"/>
        <w:tblW w:w="8217" w:type="dxa"/>
        <w:tblInd w:w="-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629"/>
        <w:gridCol w:w="1346"/>
        <w:gridCol w:w="3069"/>
        <w:gridCol w:w="1958"/>
        <w:gridCol w:w="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Cs w:val="21"/>
              </w:rPr>
              <w:t>细则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Cs w:val="21"/>
              </w:rPr>
              <w:t>标准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37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综合能力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5" w:after="105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基本情况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事务所规模、律师构成情况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5分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近五年有房地产相关部门立法及后评估工作经历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每提供一个案例得0.5分，须有服务团队成员参与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总分不超过1分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37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项目响应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能力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服务团队负责人能力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基本条件：二级及以上执业律师，执业年限不低于10年（含），近三年担任政府机关法律顾问情况。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10分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服务团队成员能力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团队成员执业经验和专业情况，近三年担任房地产相关机关法律顾问或行业协会职务情况。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10分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项目理解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根据供应商对本项目背景、项目意图的理解程度及对本项目服务内容的了解程度进行评分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10分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服务方案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熟悉政府立法项目工作重点、难点，针对采购需求有深刻理解，服务方案有详细、合理的分析和对策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30分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保密承诺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根据供应商保密承诺及保证措施的全面性、针对性进行评分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5分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服务质量保证措施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根据供应商提供的该项目服务质量保证措施的全面性、针对性进行评分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10分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应急措施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根据供应商提供的针对该项目的相关应急措施的全面性、合理性、时效性进行评分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4分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服务响应措施及其他优惠承诺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项目人员的服务时间、团队负责人服务响应时间、立法过程参与度、优惠承诺等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5分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7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报价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报价唯一</w:t>
            </w:r>
          </w:p>
        </w:tc>
        <w:tc>
          <w:tcPr>
            <w:tcW w:w="3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评标基准价:满足招标文件要求且价格最低的投标报价；投标报价得分=（评标基准价/投标报价）*10分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总分不超过10分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333333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76C6"/>
    <w:rsid w:val="092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napToGrid/>
      <w:kern w:val="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2024-04-19T07:49:00Z</dcterms:created>
  <dc:creator>褚燕鸿</dc:creator>
  <cp:lastModifiedBy>褚燕鸿</cp:lastModifiedBy>
  <dcterms:modified xsi:type="dcterms:W3CDTF">2024-04-19T07:50:55Z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65224168ECC048A2B027E177B4B4177C</vt:lpwstr>
  </property>
</Properties>
</file>